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26-310</w:t>
      </w:r>
    </w:p>
    <w:p>
      <w:pPr>
        <w:spacing w:before="0" w:after="0" w:line="480"/>
        <w:ind w:left="120"/>
        <w:jc w:val="left"/>
      </w:pPr>
    </w:p>
    <w:p>
      <w:pPr>
        <w:spacing w:before="0" w:after="0" w:line="480"/>
        <w:ind w:left="120"/>
        <w:jc w:val="center"/>
      </w:pPr>
      <w:r>
        <w:rPr>
          <w:rFonts w:ascii="Times New Roman" w:hAnsi="Times New Roman"/>
          <w:b/>
          <w:i w:val="false"/>
          <w:color w:val="000000"/>
          <w:sz w:val="28"/>
        </w:rPr>
        <w:t>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26</w:t>
      </w:r>
    </w:p>
    <w:p>
      <w:pPr>
        <w:spacing w:before="0" w:after="0" w:line="480"/>
        <w:ind w:left="120"/>
        <w:jc w:val="center"/>
      </w:pPr>
      <w:r>
        <w:rPr>
          <w:rFonts w:ascii="Times New Roman" w:hAnsi="Times New Roman"/>
          <w:b w:val="false"/>
          <w:i w:val="false"/>
          <w:color w:val="000000"/>
          <w:sz w:val="24"/>
        </w:rPr>
        <w:t>“Attorney Loan Repayment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 and 256.232</w:t>
      </w:r>
    </w:p>
    <w:p>
      <w:pPr>
        <w:spacing w:before="0" w:after="0" w:line="480"/>
        <w:ind w:left="120"/>
        <w:jc w:val="both"/>
      </w:pPr>
      <w:r>
        <w:rPr>
          <w:rFonts w:ascii="Times New Roman" w:hAnsi="Times New Roman"/>
          <w:b w:val="false"/>
          <w:i w:val="false"/>
          <w:color w:val="000000"/>
          <w:sz w:val="24"/>
        </w:rPr>
        <w:t>State or federal law(s) implemented by the rulemaking: Iowa Code section 256.232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Room B50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Katrina Holck </w:t>
            </w:r>
            <w:r>
              <w:br/>
            </w:r>
            <w:r>
              <w:rPr>
                <w:rFonts w:ascii="Times New Roman" w:hAnsi="Times New Roman"/>
                <w:b w:val="false"/>
                <w:i w:val="false"/>
                <w:color w:val="000000"/>
                <w:sz w:val="14"/>
              </w:rPr>
              <w:t>Attorney 2</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Commission proposes to adopt new Chapter 26 pursuant to 2026 Iowa Acts, House File 2770, division III. This chapter will establish eligibility requirements, application procedures, award administration, repayment agreements, participant obligations, and program administration for the Attorney Loan Repayment Program. The program is intended to encourage attorneys to practice law in Iowa, with priority given to attorneys practicing in rural areas, through repayment assistance for qualifying student loans. Citations in the proposed chapter to Iowa Code section 256.232 are to that section as enacted in House File 2770.</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proposed rulemaking is not expected to impose significant costs on regulated persons or entities.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Eligible attorneys who participate in the Attorney Loan Repayment Program will benefit through repayment assistance for qualifying student loans.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 number of individuals who will participate in the Attorney Loan Repayment Program will depend on available funding, the number of eligible applicants, and program demand.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proposed rulemaking will establish a clear, consistent, and transparent process for administering the Attorney Loan Repayment Program.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will incur administrative costs associated with implementing and administering the Attorney Loan Repayment Program, including developing application procedures, reviewing applications, executing agreements, monitoring participant compliance, processing awards, and maintaining program records.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 proposed rulemaking is not anticipated to have a direct effect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establishes the procedures necessary to implement and administer the Attorney Loan Repayment Program as authorized by statute. The costs associated with the proposed rulemaking are primarily administrative and include program implementation, application review, participant monitoring, and program oversight by the Commission.</w:t>
      </w:r>
    </w:p>
    <w:p>
      <w:pPr>
        <w:spacing w:before="0" w:after="0" w:line="480"/>
        <w:ind w:left="120"/>
        <w:jc w:val="both"/>
      </w:pPr>
      <w:r>
        <w:rPr>
          <w:rFonts w:ascii="Times New Roman" w:hAnsi="Times New Roman"/>
          <w:b w:val="false"/>
          <w:i w:val="false"/>
          <w:color w:val="000000"/>
          <w:sz w:val="24"/>
        </w:rPr>
        <w:t xml:space="preserve">The benefits of the proposed rulemaking include providing a consistent and transparent process for administering loan repayment assistance, increasing access to financial support for eligible attorneys, and supporting efforts to recruit and retain attorneys in Iowa, particularly in areas experiencing workforce shortages. </w:t>
      </w:r>
    </w:p>
    <w:p>
      <w:pPr>
        <w:spacing w:before="0" w:after="0" w:line="480"/>
        <w:ind w:left="120"/>
        <w:jc w:val="both"/>
      </w:pPr>
      <w:r>
        <w:rPr>
          <w:rFonts w:ascii="Times New Roman" w:hAnsi="Times New Roman"/>
          <w:b w:val="false"/>
          <w:i w:val="false"/>
          <w:color w:val="000000"/>
          <w:sz w:val="24"/>
        </w:rPr>
        <w:t xml:space="preserve"> Inaction would prevent the Commission from establishing the administrative framework necessary to operate the program effectively, resulting in uncertainty for potential applicants and limiting the State’s ability to use the program as intended to address attorney workforce needs.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Commission has determined that no less costly or less intrusive method exists to achieve the purpose of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Commission since the method proposed is the most cost-efficient and seamless for all entities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because they would lead to additional burden on applicants, eligible institutions, and the Commission.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The proposed rulemaking is not expected to have an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283—Chapter 26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26</w:t>
      </w:r>
    </w:p>
    <w:p>
      <w:pPr>
        <w:spacing w:before="0" w:after="0" w:line="480"/>
        <w:ind w:left="120"/>
        <w:jc w:val="center"/>
      </w:pPr>
      <w:r>
        <w:rPr>
          <w:rFonts w:ascii="Times New Roman" w:hAnsi="Times New Roman"/>
          <w:b w:val="false"/>
          <w:i w:val="false"/>
          <w:color w:val="000000"/>
          <w:sz w:val="21"/>
        </w:rPr>
        <w:t>ATTORNEY LOAN REPAYMENT PROGRAM</w:t>
      </w:r>
    </w:p>
    <w:p>
      <w:pPr>
        <w:spacing w:before="210" w:after="0" w:line="480"/>
        <w:ind w:left="120"/>
        <w:jc w:val="both"/>
      </w:pPr>
      <w:r>
        <w:rPr>
          <w:rFonts w:ascii="Times New Roman" w:hAnsi="Times New Roman"/>
          <w:b/>
          <w:i w:val="false"/>
          <w:color w:val="000000"/>
          <w:sz w:val="24"/>
        </w:rPr>
        <w:t>283—26.1</w:t>
      </w:r>
      <w:r>
        <w:rPr>
          <w:rFonts w:ascii="Times New Roman" w:hAnsi="Times New Roman"/>
          <w:b/>
          <w:i w:val="false"/>
          <w:color w:val="000000"/>
          <w:sz w:val="24"/>
        </w:rPr>
        <w:t xml:space="preserve">(256)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chapter is to implement Iowa Code section </w:t>
      </w:r>
      <w:hyperlink r:id="rId5">
        <w:r>
          <w:rPr>
            <w:rStyle w:val="Hyperlink"/>
            <w:rFonts w:ascii="Times New Roman" w:hAnsi="Times New Roman"/>
            <w:b w:val="false"/>
            <w:i w:val="false"/>
            <w:color w:val="000000"/>
            <w:sz w:val="24"/>
          </w:rPr>
          <w:t>256.232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2770</w:t>
      </w:r>
      <w:r>
        <w:rPr>
          <w:rFonts w:ascii="Times New Roman" w:hAnsi="Times New Roman"/>
          <w:b w:val="false"/>
          <w:i w:val="false"/>
          <w:color w:val="000000"/>
          <w:sz w:val="24"/>
        </w:rPr>
        <w:t>, division III, establishing the attorney loan repayment program administered by the college student aid commission to recruit and retain attorneys to provide indigent defense legal services in Iowa.</w:t>
      </w:r>
    </w:p>
    <w:p>
      <w:pPr>
        <w:spacing w:before="0" w:after="0" w:line="480"/>
        <w:ind w:left="120"/>
        <w:jc w:val="both"/>
      </w:pPr>
      <w:r>
        <w:rPr>
          <w:rFonts w:ascii="Times New Roman" w:hAnsi="Times New Roman"/>
          <w:b/>
          <w:i w:val="false"/>
          <w:color w:val="000000"/>
          <w:sz w:val="24"/>
        </w:rPr>
        <w:t>283—26.2</w:t>
      </w:r>
      <w:r>
        <w:rPr>
          <w:rFonts w:ascii="Times New Roman" w:hAnsi="Times New Roman"/>
          <w:b/>
          <w:i w:val="false"/>
          <w:color w:val="000000"/>
          <w:sz w:val="24"/>
        </w:rPr>
        <w:t xml:space="preserve">(256)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color w:val="000000"/>
          <w:sz w:val="24"/>
          <w:u w:val="single"/>
        </w:rPr>
        <w:t> </w:t>
      </w:r>
      <w:r>
        <w:rPr>
          <w:rFonts w:ascii="Times New Roman" w:hAnsi="Times New Roman"/>
          <w:b w:val="false"/>
          <w:i w:val="false"/>
          <w:color w:val="000000"/>
          <w:sz w:val="24"/>
        </w:rPr>
        <w:t>means the college student aid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attorney”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attorney who satisfies the requirements of Iowa Code section </w:t>
      </w:r>
      <w:hyperlink r:id="rId6">
        <w:r>
          <w:rPr>
            <w:rStyle w:val="Hyperlink"/>
            <w:rFonts w:ascii="Times New Roman" w:hAnsi="Times New Roman"/>
            <w:b w:val="false"/>
            <w:i w:val="false"/>
            <w:color w:val="000000"/>
            <w:sz w:val="24"/>
          </w:rPr>
          <w:t>256.232(2)</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loan”</w:t>
      </w:r>
      <w:r>
        <w:rPr>
          <w:rFonts w:ascii="Times New Roman" w:hAnsi="Times New Roman"/>
          <w:b w:val="false"/>
          <w:i/>
          <w:color w:val="000000"/>
          <w:sz w:val="24"/>
          <w:u w:val="single"/>
        </w:rPr>
        <w:t> </w:t>
      </w:r>
      <w:r>
        <w:rPr>
          <w:rFonts w:ascii="Times New Roman" w:hAnsi="Times New Roman"/>
          <w:b w:val="false"/>
          <w:i w:val="false"/>
          <w:color w:val="000000"/>
          <w:sz w:val="24"/>
        </w:rPr>
        <w:t>means the attorney’s total federally guaranteed Stafford loan amount under the federal family education loan program or the federal direct loan program, the attorney’s federal graduate plus loans, or the attorney’s federal Perkins loan, including principal and interest. Federal direct consolidation loans comprised of eligible loan(s) are also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“Indigent defense services”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court-appointed legal services provided pursuant to rule </w:t>
      </w:r>
      <w:hyperlink r:id="rId7">
        <w:r>
          <w:rPr>
            <w:rStyle w:val="Hyperlink"/>
            <w:rFonts w:ascii="Times New Roman" w:hAnsi="Times New Roman"/>
            <w:b w:val="false"/>
            <w:i w:val="false"/>
            <w:color w:val="000000"/>
            <w:sz w:val="24"/>
          </w:rPr>
          <w:t>493—1.3</w:t>
        </w:r>
      </w:hyperlink>
      <w:r>
        <w:rPr>
          <w:rFonts w:ascii="Times New Roman" w:hAnsi="Times New Roman"/>
          <w:b w:val="false"/>
          <w:i w:val="false"/>
          <w:color w:val="000000"/>
          <w:sz w:val="24"/>
        </w:rPr>
        <w:t>(13B).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“Law school”</w:t>
      </w:r>
      <w:r>
        <w:rPr>
          <w:rFonts w:ascii="Times New Roman" w:hAnsi="Times New Roman"/>
          <w:b w:val="false"/>
          <w:i/>
          <w:color w:val="000000"/>
          <w:sz w:val="24"/>
          <w:u w:val="single"/>
        </w:rPr>
        <w:t> </w:t>
      </w:r>
      <w:r>
        <w:rPr>
          <w:rFonts w:ascii="Times New Roman" w:hAnsi="Times New Roman"/>
          <w:b w:val="false"/>
          <w:i w:val="false"/>
          <w:color w:val="000000"/>
          <w:sz w:val="24"/>
        </w:rPr>
        <w:t>means a law school accredited by the American Bar Association or another accrediting body recognized by the commission.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attorney loan repayment program established pursuant to Iowa Code section </w:t>
      </w:r>
      <w:hyperlink r:id="rId8">
        <w:r>
          <w:rPr>
            <w:rStyle w:val="Hyperlink"/>
            <w:rFonts w:ascii="Times New Roman" w:hAnsi="Times New Roman"/>
            <w:b w:val="false"/>
            <w:i w:val="false"/>
            <w:color w:val="000000"/>
            <w:sz w:val="24"/>
          </w:rPr>
          <w:t>256.232</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“Rural area”</w:t>
      </w:r>
      <w:r>
        <w:rPr>
          <w:rFonts w:ascii="Times New Roman" w:hAnsi="Times New Roman"/>
          <w:b w:val="false"/>
          <w:i/>
          <w:color w:val="000000"/>
          <w:sz w:val="24"/>
          <w:u w:val="single"/>
        </w:rPr>
        <w:t> </w:t>
      </w:r>
      <w:r>
        <w:rPr>
          <w:rFonts w:ascii="Times New Roman" w:hAnsi="Times New Roman"/>
          <w:b w:val="false"/>
          <w:i w:val="false"/>
          <w:color w:val="000000"/>
          <w:sz w:val="24"/>
        </w:rPr>
        <w:t>means a county or municipality that has a population of less than 26,000 and is located more than 20 miles from a city with a population of at least 50,000, based on the most recent federal decennial census.</w:t>
      </w:r>
    </w:p>
    <w:p>
      <w:pPr>
        <w:spacing w:before="0" w:after="0" w:line="480"/>
        <w:ind w:left="120"/>
        <w:jc w:val="both"/>
      </w:pPr>
      <w:r>
        <w:rPr>
          <w:rFonts w:ascii="Times New Roman" w:hAnsi="Times New Roman"/>
          <w:b/>
          <w:i w:val="false"/>
          <w:color w:val="000000"/>
          <w:sz w:val="24"/>
        </w:rPr>
        <w:t>283—26.3</w:t>
      </w:r>
      <w:r>
        <w:rPr>
          <w:rFonts w:ascii="Times New Roman" w:hAnsi="Times New Roman"/>
          <w:b/>
          <w:i w:val="false"/>
          <w:color w:val="000000"/>
          <w:sz w:val="24"/>
        </w:rPr>
        <w:t xml:space="preserve">(256)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An applicant shall satisfy all of the following requirements to be eligible to participate in the program: </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Be a graduate of an accredited law school within five years of the time of application to the program. </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Be licensed to practice or will be licensed to practice law in Iowa. </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Have an outstanding balance on eligible loan(s). </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Submit a complete application and all required documentation by the deadline established by the commission. </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Commit to practicing law in accordance with the selection priorities provided on their application, as executed through a program agreement.  </w:t>
      </w:r>
    </w:p>
    <w:p>
      <w:pPr>
        <w:spacing w:before="0" w:after="0" w:line="480"/>
        <w:ind w:left="120"/>
        <w:jc w:val="both"/>
      </w:pPr>
      <w:r>
        <w:rPr>
          <w:rFonts w:ascii="Times New Roman" w:hAnsi="Times New Roman"/>
          <w:b/>
          <w:i w:val="false"/>
          <w:color w:val="000000"/>
          <w:sz w:val="24"/>
        </w:rPr>
        <w:t>283—26.4</w:t>
      </w:r>
      <w:r>
        <w:rPr>
          <w:rFonts w:ascii="Times New Roman" w:hAnsi="Times New Roman"/>
          <w:b/>
          <w:i w:val="false"/>
          <w:color w:val="000000"/>
          <w:sz w:val="24"/>
        </w:rPr>
        <w:t xml:space="preserve">(256)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26.4(1)</w:t>
      </w:r>
      <w:r>
        <w:rPr>
          <w:rFonts w:ascii="Times New Roman" w:hAnsi="Times New Roman"/>
          <w:b w:val="false"/>
          <w:i w:val="false"/>
          <w:color w:val="000000"/>
          <w:sz w:val="24"/>
        </w:rPr>
        <w:t> </w:t>
      </w:r>
      <w:r>
        <w:rPr>
          <w:rFonts w:ascii="Times New Roman" w:hAnsi="Times New Roman"/>
          <w:b w:val="false"/>
          <w:i/>
          <w:color w:val="000000"/>
          <w:sz w:val="24"/>
        </w:rPr>
        <w:t xml:space="preserve">Application period. </w:t>
      </w:r>
      <w:r>
        <w:rPr>
          <w:rFonts w:ascii="Times New Roman" w:hAnsi="Times New Roman"/>
          <w:b w:val="false"/>
          <w:i w:val="false"/>
          <w:color w:val="000000"/>
          <w:sz w:val="24"/>
        </w:rPr>
        <w:t>The commission shall establish annual application periods and publish application materials on the commission’s website.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26.4(2)</w:t>
      </w:r>
      <w:r>
        <w:rPr>
          <w:rFonts w:ascii="Times New Roman" w:hAnsi="Times New Roman"/>
          <w:b w:val="false"/>
          <w:i w:val="false"/>
          <w:color w:val="000000"/>
          <w:sz w:val="24"/>
        </w:rPr>
        <w:t> </w:t>
      </w:r>
      <w:r>
        <w:rPr>
          <w:rFonts w:ascii="Times New Roman" w:hAnsi="Times New Roman"/>
          <w:b w:val="false"/>
          <w:i/>
          <w:color w:val="000000"/>
          <w:sz w:val="24"/>
        </w:rPr>
        <w:t xml:space="preserve">Required documentation. </w:t>
      </w:r>
      <w:r>
        <w:rPr>
          <w:rFonts w:ascii="Times New Roman" w:hAnsi="Times New Roman"/>
          <w:b w:val="false"/>
          <w:i w:val="false"/>
          <w:color w:val="000000"/>
          <w:sz w:val="24"/>
        </w:rPr>
        <w:t>Applicants shall submit documentation required by the commission, which may include but is not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Proof of graduation from an accredited law school.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Proof of Iowa licensure and good standing.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Documentation of eligible loan balances.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Documentation of primary residence.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Verification of indigent defense service commitments and location(s) of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additional information required by the commission to determine eligibility or priority status. </w:t>
      </w:r>
    </w:p>
    <w:p>
      <w:pPr>
        <w:spacing w:before="0" w:after="0" w:line="480"/>
        <w:ind w:left="120"/>
        <w:jc w:val="both"/>
      </w:pPr>
      <w:r>
        <w:rPr>
          <w:rFonts w:ascii="Times New Roman" w:hAnsi="Times New Roman"/>
          <w:b/>
          <w:i w:val="false"/>
          <w:color w:val="000000"/>
          <w:sz w:val="24"/>
        </w:rPr>
        <w:t>283—26.5</w:t>
      </w:r>
      <w:r>
        <w:rPr>
          <w:rFonts w:ascii="Times New Roman" w:hAnsi="Times New Roman"/>
          <w:b/>
          <w:i w:val="false"/>
          <w:color w:val="000000"/>
          <w:sz w:val="24"/>
        </w:rPr>
        <w:t xml:space="preserve">(256) </w:t>
      </w:r>
      <w:r>
        <w:rPr>
          <w:rFonts w:ascii="Times New Roman" w:hAnsi="Times New Roman"/>
          <w:b/>
          <w:i w:val="false"/>
          <w:color w:val="000000"/>
          <w:sz w:val="24"/>
        </w:rPr>
        <w:t xml:space="preserve">Selection priorities.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26.5(1)</w:t>
      </w:r>
      <w:r>
        <w:rPr>
          <w:rFonts w:ascii="Times New Roman" w:hAnsi="Times New Roman"/>
          <w:b w:val="false"/>
          <w:i w:val="false"/>
          <w:color w:val="000000"/>
          <w:sz w:val="24"/>
        </w:rPr>
        <w:t> </w:t>
      </w:r>
      <w:r>
        <w:rPr>
          <w:rFonts w:ascii="Times New Roman" w:hAnsi="Times New Roman"/>
          <w:b w:val="false"/>
          <w:i w:val="false"/>
          <w:color w:val="000000"/>
          <w:sz w:val="24"/>
        </w:rPr>
        <w:t xml:space="preserve">Subject to available funding, the commission shall prioritize applicants in accordance with Iowa Code section </w:t>
      </w:r>
      <w:hyperlink r:id="rId9">
        <w:r>
          <w:rPr>
            <w:rStyle w:val="Hyperlink"/>
            <w:rFonts w:ascii="Times New Roman" w:hAnsi="Times New Roman"/>
            <w:b w:val="false"/>
            <w:i w:val="false"/>
            <w:color w:val="000000"/>
            <w:sz w:val="24"/>
          </w:rPr>
          <w:t>256.232(4)</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26.5(2)</w:t>
      </w:r>
      <w:r>
        <w:rPr>
          <w:rFonts w:ascii="Times New Roman" w:hAnsi="Times New Roman"/>
          <w:b w:val="false"/>
          <w:i w:val="false"/>
          <w:color w:val="000000"/>
          <w:sz w:val="24"/>
        </w:rPr>
        <w:t> </w:t>
      </w:r>
      <w:r>
        <w:rPr>
          <w:rFonts w:ascii="Times New Roman" w:hAnsi="Times New Roman"/>
          <w:b w:val="false"/>
          <w:i w:val="false"/>
          <w:color w:val="000000"/>
          <w:sz w:val="24"/>
        </w:rPr>
        <w:t>Priority shall be given in the following order: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Attorneys who reside and practice law in rural areas of the state and provide a minimum of 50 hours of indigent defense services annually. If necessary, preference is given to attorneys who graduated from an Iowa law school or an Iowa high school or who completed private instruction pursuant to Iowa Code chapter </w:t>
      </w:r>
      <w:hyperlink r:id="rId10">
        <w:r>
          <w:rPr>
            <w:rStyle w:val="Hyperlink"/>
            <w:rFonts w:ascii="Times New Roman" w:hAnsi="Times New Roman"/>
            <w:b w:val="false"/>
            <w:i w:val="false"/>
            <w:color w:val="000000"/>
            <w:sz w:val="24"/>
          </w:rPr>
          <w:t>299A</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Attorneys who practice law in rural areas of the state and provide a minimum of 100 hours of indigent defense services annually. If necessary, preference is given to attorneys who graduated from an Iowa law school or an Iowa high school or who completed private instruction pursuant to Iowa Code chapter </w:t>
      </w:r>
      <w:hyperlink r:id="rId11">
        <w:r>
          <w:rPr>
            <w:rStyle w:val="Hyperlink"/>
            <w:rFonts w:ascii="Times New Roman" w:hAnsi="Times New Roman"/>
            <w:b w:val="false"/>
            <w:i w:val="false"/>
            <w:color w:val="000000"/>
            <w:sz w:val="24"/>
          </w:rPr>
          <w:t>299A</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Attorneys who practice law in Iowa and provide 200 hours of indigent defense services annually. If necessary, preference is given to attorneys who graduated from an Iowa law school or an Iowa high school or who completed private instruction pursuant to Iowa Code chapter </w:t>
      </w:r>
      <w:hyperlink r:id="rId12">
        <w:r>
          <w:rPr>
            <w:rStyle w:val="Hyperlink"/>
            <w:rFonts w:ascii="Times New Roman" w:hAnsi="Times New Roman"/>
            <w:b w:val="false"/>
            <w:i w:val="false"/>
            <w:color w:val="000000"/>
            <w:sz w:val="24"/>
          </w:rPr>
          <w:t>299A</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26.5(3)</w:t>
      </w:r>
      <w:r>
        <w:rPr>
          <w:rFonts w:ascii="Times New Roman" w:hAnsi="Times New Roman"/>
          <w:b w:val="false"/>
          <w:i w:val="false"/>
          <w:color w:val="000000"/>
          <w:sz w:val="24"/>
        </w:rPr>
        <w:t> </w:t>
      </w:r>
      <w:r>
        <w:rPr>
          <w:rFonts w:ascii="Times New Roman" w:hAnsi="Times New Roman"/>
          <w:b w:val="false"/>
          <w:i w:val="false"/>
          <w:color w:val="000000"/>
          <w:sz w:val="24"/>
        </w:rPr>
        <w:t>In the event eligible applications exceed available funding, the commission may consider additional factors, including: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of law school graduation, with preference to most recent graduates.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Geographic distribution of participants.</w:t>
      </w:r>
    </w:p>
    <w:p>
      <w:pPr>
        <w:spacing w:before="0" w:after="0" w:line="480"/>
        <w:ind w:left="120"/>
        <w:jc w:val="both"/>
      </w:pPr>
      <w:r>
        <w:rPr>
          <w:rFonts w:ascii="Times New Roman" w:hAnsi="Times New Roman"/>
          <w:b/>
          <w:i w:val="false"/>
          <w:color w:val="000000"/>
          <w:sz w:val="24"/>
        </w:rPr>
        <w:t>283—26.6</w:t>
      </w:r>
      <w:r>
        <w:rPr>
          <w:rFonts w:ascii="Times New Roman" w:hAnsi="Times New Roman"/>
          <w:b/>
          <w:i w:val="false"/>
          <w:color w:val="000000"/>
          <w:sz w:val="24"/>
        </w:rPr>
        <w:t xml:space="preserve">(256) </w:t>
      </w:r>
      <w:r>
        <w:rPr>
          <w:rFonts w:ascii="Times New Roman" w:hAnsi="Times New Roman"/>
          <w:b/>
          <w:i w:val="false"/>
          <w:color w:val="000000"/>
          <w:sz w:val="24"/>
        </w:rPr>
        <w:t xml:space="preserve">Program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26.6(1)</w:t>
      </w:r>
      <w:r>
        <w:rPr>
          <w:rFonts w:ascii="Times New Roman" w:hAnsi="Times New Roman"/>
          <w:b w:val="false"/>
          <w:i w:val="false"/>
          <w:color w:val="000000"/>
          <w:sz w:val="24"/>
        </w:rPr>
        <w:t> </w:t>
      </w:r>
      <w:r>
        <w:rPr>
          <w:rFonts w:ascii="Times New Roman" w:hAnsi="Times New Roman"/>
          <w:b w:val="false"/>
          <w:i w:val="false"/>
          <w:color w:val="000000"/>
          <w:sz w:val="24"/>
        </w:rPr>
        <w:t>Approved applicants shall enter into a written agreement with the commission.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26.6(2)</w:t>
      </w:r>
      <w:r>
        <w:rPr>
          <w:rFonts w:ascii="Times New Roman" w:hAnsi="Times New Roman"/>
          <w:b w:val="false"/>
          <w:i w:val="false"/>
          <w:color w:val="000000"/>
          <w:sz w:val="24"/>
        </w:rPr>
        <w:t> </w:t>
      </w:r>
      <w:r>
        <w:rPr>
          <w:rFonts w:ascii="Times New Roman" w:hAnsi="Times New Roman"/>
          <w:b w:val="false"/>
          <w:i w:val="false"/>
          <w:color w:val="000000"/>
          <w:sz w:val="24"/>
        </w:rPr>
        <w:t>The agreement shall specify all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term of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Residency and practice location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Award amount and the schedule of loan repayment installments.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Documentation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Conditions constituting and consequences for breach of the program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26.6(3)</w:t>
      </w:r>
      <w:r>
        <w:rPr>
          <w:rFonts w:ascii="Times New Roman" w:hAnsi="Times New Roman"/>
          <w:b w:val="false"/>
          <w:i w:val="false"/>
          <w:color w:val="000000"/>
          <w:sz w:val="24"/>
        </w:rPr>
        <w:t> </w:t>
      </w:r>
      <w:r>
        <w:rPr>
          <w:rFonts w:ascii="Times New Roman" w:hAnsi="Times New Roman"/>
          <w:b w:val="false"/>
          <w:i w:val="false"/>
          <w:color w:val="000000"/>
          <w:sz w:val="24"/>
        </w:rPr>
        <w:t>An agreement shall not become effective until executed by both the participant and the commission. </w:t>
      </w:r>
    </w:p>
    <w:p>
      <w:pPr>
        <w:spacing w:before="0" w:after="0" w:line="480"/>
        <w:ind w:left="120"/>
        <w:jc w:val="both"/>
      </w:pPr>
      <w:r>
        <w:rPr>
          <w:rFonts w:ascii="Times New Roman" w:hAnsi="Times New Roman"/>
          <w:b/>
          <w:i w:val="false"/>
          <w:color w:val="000000"/>
          <w:sz w:val="24"/>
        </w:rPr>
        <w:t>283—26.7</w:t>
      </w:r>
      <w:r>
        <w:rPr>
          <w:rFonts w:ascii="Times New Roman" w:hAnsi="Times New Roman"/>
          <w:b/>
          <w:i w:val="false"/>
          <w:color w:val="000000"/>
          <w:sz w:val="24"/>
        </w:rPr>
        <w:t xml:space="preserve">(256) </w:t>
      </w:r>
      <w:r>
        <w:rPr>
          <w:rFonts w:ascii="Times New Roman" w:hAnsi="Times New Roman"/>
          <w:b/>
          <w:i w:val="false"/>
          <w:color w:val="000000"/>
          <w:sz w:val="24"/>
        </w:rPr>
        <w:t xml:space="preserve">Loan repayment awards.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26.7(1)</w:t>
      </w:r>
      <w:r>
        <w:rPr>
          <w:rFonts w:ascii="Times New Roman" w:hAnsi="Times New Roman"/>
          <w:b w:val="false"/>
          <w:i w:val="false"/>
          <w:color w:val="000000"/>
          <w:sz w:val="24"/>
        </w:rPr>
        <w:t> </w:t>
      </w:r>
      <w:r>
        <w:rPr>
          <w:rFonts w:ascii="Times New Roman" w:hAnsi="Times New Roman"/>
          <w:b w:val="false"/>
          <w:i w:val="false"/>
          <w:color w:val="000000"/>
          <w:sz w:val="24"/>
        </w:rPr>
        <w:t>New award recipients are limited to 25 in a single year, and total recipients shall not exceed 150 attorneys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26.7(2)</w:t>
      </w:r>
      <w:r>
        <w:rPr>
          <w:rFonts w:ascii="Times New Roman" w:hAnsi="Times New Roman"/>
          <w:b w:val="false"/>
          <w:i w:val="false"/>
          <w:color w:val="000000"/>
          <w:sz w:val="24"/>
        </w:rPr>
        <w:t> </w:t>
      </w:r>
      <w:r>
        <w:rPr>
          <w:rFonts w:ascii="Times New Roman" w:hAnsi="Times New Roman"/>
          <w:b w:val="false"/>
          <w:i w:val="false"/>
          <w:color w:val="000000"/>
          <w:sz w:val="24"/>
        </w:rPr>
        <w:t>Subject to available funding, an eligible attorney who enters into and remains in compliance with a program agreement shall receive loan repayment assistance in an amount not to exceed the lesser of $10,000 per year or the outstanding balance of the attorney’s eligible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26.7(3)</w:t>
      </w:r>
      <w:r>
        <w:rPr>
          <w:rFonts w:ascii="Times New Roman" w:hAnsi="Times New Roman"/>
          <w:b w:val="false"/>
          <w:i w:val="false"/>
          <w:color w:val="000000"/>
          <w:sz w:val="24"/>
        </w:rPr>
        <w:t> </w:t>
      </w:r>
      <w:r>
        <w:rPr>
          <w:rFonts w:ascii="Times New Roman" w:hAnsi="Times New Roman"/>
          <w:b w:val="false"/>
          <w:i w:val="false"/>
          <w:color w:val="000000"/>
          <w:sz w:val="24"/>
        </w:rPr>
        <w:t>Loan repayment assistance may be provided for each year of eligible service during a period of not more than six consecutive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26.7(4)</w:t>
      </w:r>
      <w:r>
        <w:rPr>
          <w:rFonts w:ascii="Times New Roman" w:hAnsi="Times New Roman"/>
          <w:b w:val="false"/>
          <w:i w:val="false"/>
          <w:color w:val="000000"/>
          <w:sz w:val="24"/>
        </w:rPr>
        <w:t> </w:t>
      </w:r>
      <w:r>
        <w:rPr>
          <w:rFonts w:ascii="Times New Roman" w:hAnsi="Times New Roman"/>
          <w:b w:val="false"/>
          <w:i w:val="false"/>
          <w:color w:val="000000"/>
          <w:sz w:val="24"/>
        </w:rPr>
        <w:t>In the event an attorney who receives loan repayment assistance ceases to practice law in accordance with the program agreement, the loan repayment assistance shall terminate immediately, the loan repayment assistance shall be prorated for the months the attorney complied with the agreement, and no further payment shall be made.</w:t>
      </w:r>
    </w:p>
    <w:p>
      <w:pPr>
        <w:spacing w:before="0" w:after="0" w:line="480"/>
        <w:ind w:left="120"/>
        <w:jc w:val="both"/>
      </w:pPr>
      <w:r>
        <w:rPr>
          <w:rFonts w:ascii="Times New Roman" w:hAnsi="Times New Roman"/>
          <w:b/>
          <w:i w:val="false"/>
          <w:color w:val="000000"/>
          <w:sz w:val="24"/>
        </w:rPr>
        <w:t>283—26.8</w:t>
      </w:r>
      <w:r>
        <w:rPr>
          <w:rFonts w:ascii="Times New Roman" w:hAnsi="Times New Roman"/>
          <w:b/>
          <w:i w:val="false"/>
          <w:color w:val="000000"/>
          <w:sz w:val="24"/>
        </w:rPr>
        <w:t xml:space="preserve">(256) </w:t>
      </w:r>
      <w:r>
        <w:rPr>
          <w:rFonts w:ascii="Times New Roman" w:hAnsi="Times New Roman"/>
          <w:b/>
          <w:i w:val="false"/>
          <w:color w:val="000000"/>
          <w:sz w:val="24"/>
        </w:rPr>
        <w:t xml:space="preserve">Participant responsibilities. </w:t>
      </w:r>
      <w:r>
        <w:rPr>
          <w:rFonts w:ascii="Times New Roman" w:hAnsi="Times New Roman"/>
          <w:b w:val="false"/>
          <w:i w:val="false"/>
          <w:color w:val="000000"/>
          <w:sz w:val="24"/>
        </w:rPr>
        <w:t>Program participants shall:</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Maintain active licensure and good standing to practice law in Iowa. </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Complete eligible service obligations required under the program agreement.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Provide annual certifications and documentation required by the commission. </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Notify the commission within 30 calendar days of any material change affecting eligibility or compliance. </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256.232</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Mode="External" Target="https://www.legis.iowa.gov/docs/ico/chapter/256.232.pdf" Type="http://schemas.openxmlformats.org/officeDocument/2006/relationships/hyperlink" Id="rId5"/>
    <Relationship TargetMode="External" Target="https://www.legis.iowa.gov/docs/ico/chapter/256.232.pdf" Type="http://schemas.openxmlformats.org/officeDocument/2006/relationships/hyperlink" Id="rId6"/>
    <Relationship TargetMode="External" Target="https://www.legis.iowa.gov/docs/iac/rule/493.1.3.pdf" Type="http://schemas.openxmlformats.org/officeDocument/2006/relationships/hyperlink" Id="rId7"/>
    <Relationship TargetMode="External" Target="https://www.legis.iowa.gov/docs/ico/chapter/256.232.pdf" Type="http://schemas.openxmlformats.org/officeDocument/2006/relationships/hyperlink" Id="rId8"/>
    <Relationship TargetMode="External" Target="https://www.legis.iowa.gov/docs/ico/chapter/256.232.pdf" Type="http://schemas.openxmlformats.org/officeDocument/2006/relationships/hyperlink" Id="rId9"/>
    <Relationship TargetMode="External" Target="https://www.legis.iowa.gov/docs/ico/chapter/299A.pdf" Type="http://schemas.openxmlformats.org/officeDocument/2006/relationships/hyperlink" Id="rId10"/>
    <Relationship TargetMode="External" Target="https://www.legis.iowa.gov/docs/ico/chapter/299A.pdf" Type="http://schemas.openxmlformats.org/officeDocument/2006/relationships/hyperlink" Id="rId11"/>
    <Relationship TargetMode="External" Target="https://www.legis.iowa.gov/docs/ico/chapter/299A.pdf" Type="http://schemas.openxmlformats.org/officeDocument/2006/relationships/hyperlink" Id="rId12"/>
    <Relationship TargetMode="External" Target="https://www.legis.iowa.gov/docs/ico/chapter/256.23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